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仿宋_GB2312" w:hAnsi="宋体" w:eastAsia="仿宋_GB2312" w:cs="宋体"/>
          <w:sz w:val="32"/>
          <w:szCs w:val="32"/>
        </w:rPr>
      </w:pPr>
    </w:p>
    <w:p>
      <w:pPr>
        <w:pStyle w:val="2"/>
        <w:spacing w:line="560" w:lineRule="exact"/>
        <w:jc w:val="center"/>
        <w:rPr>
          <w:rFonts w:ascii="仿宋_GB2312" w:hAnsi="宋体" w:eastAsia="仿宋_GB2312" w:cs="宋体"/>
          <w:sz w:val="32"/>
          <w:szCs w:val="32"/>
        </w:rPr>
      </w:pPr>
    </w:p>
    <w:p>
      <w:pPr>
        <w:pStyle w:val="2"/>
        <w:spacing w:line="560" w:lineRule="exact"/>
        <w:jc w:val="center"/>
        <w:rPr>
          <w:rFonts w:cs="宋体" w:asciiTheme="majorEastAsia" w:hAnsiTheme="majorEastAsia" w:eastAsiaTheme="majorEastAsia"/>
          <w:sz w:val="44"/>
          <w:szCs w:val="44"/>
        </w:rPr>
      </w:pPr>
      <w:r>
        <w:rPr>
          <w:rFonts w:hint="eastAsia" w:cs="宋体" w:asciiTheme="majorEastAsia" w:hAnsiTheme="majorEastAsia" w:eastAsiaTheme="majorEastAsia"/>
          <w:sz w:val="44"/>
          <w:szCs w:val="44"/>
        </w:rPr>
        <w:t>最高人民法院</w:t>
      </w: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关于审理侵害知识产权</w:t>
      </w:r>
    </w:p>
    <w:p>
      <w:pPr>
        <w:pStyle w:val="2"/>
        <w:spacing w:line="560" w:lineRule="exact"/>
        <w:jc w:val="center"/>
        <w:rPr>
          <w:rFonts w:cs="宋体" w:asciiTheme="majorEastAsia" w:hAnsiTheme="majorEastAsia" w:eastAsiaTheme="majorEastAsia"/>
          <w:sz w:val="44"/>
          <w:szCs w:val="44"/>
        </w:rPr>
      </w:pPr>
      <w:r>
        <w:rPr>
          <w:rFonts w:hint="eastAsia" w:cs="宋体" w:asciiTheme="majorEastAsia" w:hAnsiTheme="majorEastAsia" w:eastAsiaTheme="majorEastAsia"/>
          <w:sz w:val="44"/>
          <w:szCs w:val="44"/>
        </w:rPr>
        <w:t>民事案件</w:t>
      </w:r>
      <w:bookmarkStart w:id="0" w:name="_GoBack"/>
      <w:bookmarkEnd w:id="0"/>
      <w:r>
        <w:rPr>
          <w:rFonts w:hint="eastAsia" w:cs="宋体" w:asciiTheme="majorEastAsia" w:hAnsiTheme="majorEastAsia" w:eastAsiaTheme="majorEastAsia"/>
          <w:sz w:val="44"/>
          <w:szCs w:val="44"/>
        </w:rPr>
        <w:t>适用惩罚性赔偿的解释</w:t>
      </w:r>
    </w:p>
    <w:p>
      <w:pPr>
        <w:pStyle w:val="2"/>
        <w:spacing w:line="560" w:lineRule="exact"/>
        <w:jc w:val="center"/>
        <w:rPr>
          <w:rFonts w:ascii="仿宋_GB2312" w:hAnsi="宋体" w:eastAsia="仿宋_GB2312" w:cs="宋体"/>
          <w:sz w:val="32"/>
          <w:szCs w:val="32"/>
        </w:rPr>
      </w:pPr>
    </w:p>
    <w:p>
      <w:pPr>
        <w:pStyle w:val="2"/>
        <w:spacing w:line="560" w:lineRule="exact"/>
        <w:jc w:val="center"/>
        <w:rPr>
          <w:rFonts w:ascii="楷体_GB2312" w:hAnsi="宋体" w:eastAsia="楷体_GB2312" w:cs="宋体"/>
          <w:sz w:val="32"/>
          <w:szCs w:val="32"/>
        </w:rPr>
      </w:pPr>
      <w:r>
        <w:rPr>
          <w:rFonts w:hint="eastAsia" w:ascii="楷体_GB2312" w:hAnsi="宋体" w:eastAsia="楷体_GB2312" w:cs="宋体"/>
          <w:sz w:val="32"/>
          <w:szCs w:val="32"/>
        </w:rPr>
        <w:t>法释〔2021〕4号</w:t>
      </w:r>
    </w:p>
    <w:p>
      <w:pPr>
        <w:pStyle w:val="2"/>
        <w:spacing w:line="560" w:lineRule="exact"/>
        <w:jc w:val="center"/>
        <w:rPr>
          <w:rFonts w:ascii="仿宋_GB2312" w:hAnsi="宋体" w:eastAsia="仿宋_GB2312" w:cs="宋体"/>
          <w:sz w:val="32"/>
          <w:szCs w:val="32"/>
        </w:rPr>
      </w:pPr>
    </w:p>
    <w:p>
      <w:pPr>
        <w:pStyle w:val="2"/>
        <w:spacing w:line="560" w:lineRule="exact"/>
        <w:ind w:left="630" w:leftChars="300" w:right="630" w:rightChars="300"/>
        <w:rPr>
          <w:rFonts w:ascii="楷体_GB2312" w:hAnsi="宋体" w:eastAsia="楷体_GB2312" w:cs="宋体"/>
          <w:sz w:val="32"/>
          <w:szCs w:val="32"/>
        </w:rPr>
      </w:pPr>
      <w:r>
        <w:rPr>
          <w:rFonts w:hint="eastAsia" w:ascii="楷体_GB2312" w:hAnsi="宋体" w:eastAsia="楷体_GB2312" w:cs="宋体"/>
          <w:sz w:val="32"/>
          <w:szCs w:val="32"/>
        </w:rPr>
        <w:t>（2021年2月7日最高人民法院审判委员会第1831次会议通过，自2021年3月3日起施行）</w:t>
      </w:r>
    </w:p>
    <w:p>
      <w:pPr>
        <w:pStyle w:val="2"/>
        <w:spacing w:line="560" w:lineRule="exact"/>
        <w:jc w:val="center"/>
        <w:rPr>
          <w:rFonts w:ascii="仿宋_GB2312" w:hAnsi="宋体" w:eastAsia="仿宋_GB2312" w:cs="宋体"/>
          <w:sz w:val="32"/>
          <w:szCs w:val="32"/>
        </w:rPr>
      </w:pP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为正确实施知识产权惩罚性赔偿制度，依法惩处严重侵害知识产权行为，全面加强知识产权保护，根据《中华人民共和国民法典》《中华人民共和国著作权法》《中华人民共和国商标法》《中华人民共和国专利法》《中华人民共和国反不正当竞争法》《中华人民共和国种子法》《中华人民共和国民事诉讼法》等有关法律规定,结合审判实践,制定本解释。</w:t>
      </w:r>
    </w:p>
    <w:p>
      <w:pPr>
        <w:pStyle w:val="2"/>
        <w:spacing w:line="560" w:lineRule="exact"/>
        <w:ind w:firstLine="640" w:firstLineChars="200"/>
        <w:jc w:val="left"/>
        <w:rPr>
          <w:rFonts w:ascii="仿宋_GB2312" w:hAnsi="宋体" w:eastAsia="仿宋_GB2312" w:cs="宋体"/>
          <w:sz w:val="32"/>
          <w:szCs w:val="32"/>
        </w:rPr>
      </w:pPr>
      <w:r>
        <w:rPr>
          <w:rFonts w:hint="eastAsia" w:ascii="黑体" w:hAnsi="黑体" w:eastAsia="黑体" w:cs="宋体"/>
          <w:sz w:val="32"/>
          <w:szCs w:val="32"/>
        </w:rPr>
        <w:t>第一条　</w:t>
      </w:r>
      <w:r>
        <w:rPr>
          <w:rFonts w:hint="eastAsia" w:ascii="仿宋_GB2312" w:hAnsi="宋体" w:eastAsia="仿宋_GB2312" w:cs="宋体"/>
          <w:sz w:val="32"/>
          <w:szCs w:val="32"/>
        </w:rPr>
        <w:t>原告主张被告故意侵害其依法享有的知识产权且情节严重，请求判令被告承担惩罚性赔偿责任的，人民法院应当依法审查处理。</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本解释所称故意，包括商标法第六十三条第一款和反不正当竞争法第十七条第三款规定的恶意。</w:t>
      </w:r>
    </w:p>
    <w:p>
      <w:pPr>
        <w:pStyle w:val="2"/>
        <w:spacing w:line="560" w:lineRule="exact"/>
        <w:ind w:firstLine="640" w:firstLineChars="200"/>
        <w:jc w:val="left"/>
        <w:rPr>
          <w:rFonts w:ascii="仿宋_GB2312" w:hAnsi="宋体" w:eastAsia="仿宋_GB2312" w:cs="宋体"/>
          <w:sz w:val="32"/>
          <w:szCs w:val="32"/>
        </w:rPr>
      </w:pPr>
      <w:r>
        <w:rPr>
          <w:rFonts w:hint="eastAsia" w:ascii="黑体" w:hAnsi="黑体" w:eastAsia="黑体" w:cs="宋体"/>
          <w:sz w:val="32"/>
          <w:szCs w:val="32"/>
        </w:rPr>
        <w:t>第二条　</w:t>
      </w:r>
      <w:r>
        <w:rPr>
          <w:rFonts w:hint="eastAsia" w:ascii="仿宋_GB2312" w:hAnsi="宋体" w:eastAsia="仿宋_GB2312" w:cs="宋体"/>
          <w:sz w:val="32"/>
          <w:szCs w:val="32"/>
        </w:rPr>
        <w:t>原告请求惩罚性赔偿的，应当在起诉时明确赔偿数额、计算方式以及所依据的事实和理由。</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原告在一审法庭辩论终结前增加惩罚性赔偿请求的，人民法院应当准许；在二审中增加惩罚性赔偿请求的，人民法院可以根据当事人自愿的原则进行调解，调解不成的，告知当事人另行起诉。</w:t>
      </w:r>
    </w:p>
    <w:p>
      <w:pPr>
        <w:pStyle w:val="2"/>
        <w:spacing w:line="560" w:lineRule="exact"/>
        <w:ind w:firstLine="640" w:firstLineChars="200"/>
        <w:jc w:val="left"/>
        <w:rPr>
          <w:rFonts w:ascii="仿宋_GB2312" w:hAnsi="宋体" w:eastAsia="仿宋_GB2312" w:cs="宋体"/>
          <w:sz w:val="32"/>
          <w:szCs w:val="32"/>
        </w:rPr>
      </w:pPr>
      <w:r>
        <w:rPr>
          <w:rFonts w:hint="eastAsia" w:ascii="黑体" w:hAnsi="黑体" w:eastAsia="黑体" w:cs="宋体"/>
          <w:sz w:val="32"/>
          <w:szCs w:val="32"/>
        </w:rPr>
        <w:t>第三条　</w:t>
      </w:r>
      <w:r>
        <w:rPr>
          <w:rFonts w:hint="eastAsia" w:ascii="仿宋_GB2312" w:hAnsi="宋体" w:eastAsia="仿宋_GB2312" w:cs="宋体"/>
          <w:sz w:val="32"/>
          <w:szCs w:val="32"/>
        </w:rPr>
        <w:t>对于侵害知识产权的故意的认定，人民法院应当综合考虑被侵害知识产权客体类型、权利状态和相关产品知名度、被告与原告或者利害关系人之间的关系等因素。</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对于下列情形，人民法院可以初步认定被告具有侵害知识产权的故意：</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（一）被告经原告或者利害关系人通知、警告后，仍继续实施侵权行为的；</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（二）被告或其法定代表人、管理人是原告或者利害关系人的法定代表人、管理人、实际控制人的；</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（三）被告与原告或者利害关系人之间存在劳动、劳务、合作、许可、经销、代理、代表等关系，且接触过被侵害的知识产权的；</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（四）被告与原告或者利害关系人之间有业务往来或者为达成合同等进行过磋商，且接触过被侵害的知识产权的；</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（五）被告实施盗版、假冒注册商标行为的；</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（六）其他可以认定为故意的情形。</w:t>
      </w:r>
    </w:p>
    <w:p>
      <w:pPr>
        <w:pStyle w:val="2"/>
        <w:spacing w:line="560" w:lineRule="exact"/>
        <w:ind w:firstLine="640" w:firstLineChars="200"/>
        <w:jc w:val="left"/>
        <w:rPr>
          <w:rFonts w:ascii="仿宋_GB2312" w:hAnsi="宋体" w:eastAsia="仿宋_GB2312" w:cs="宋体"/>
          <w:sz w:val="32"/>
          <w:szCs w:val="32"/>
        </w:rPr>
      </w:pPr>
      <w:r>
        <w:rPr>
          <w:rFonts w:hint="eastAsia" w:ascii="黑体" w:hAnsi="黑体" w:eastAsia="黑体" w:cs="宋体"/>
          <w:sz w:val="32"/>
          <w:szCs w:val="32"/>
        </w:rPr>
        <w:t>第四条　</w:t>
      </w:r>
      <w:r>
        <w:rPr>
          <w:rFonts w:hint="eastAsia" w:ascii="仿宋_GB2312" w:hAnsi="宋体" w:eastAsia="仿宋_GB2312" w:cs="宋体"/>
          <w:sz w:val="32"/>
          <w:szCs w:val="32"/>
        </w:rPr>
        <w:t>对于侵害知识产权情节严重的认定，人民法院应当综合考虑侵权手段、次数，侵权行为的持续时间、地域范围、规模、后果，侵权人在诉讼中的行为等因素。</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被告有下列情形的，人民法院可以认定为情节严重：</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（一）因侵权被行政处罚或者法院裁判承担责任后，再次实施相同或者类似侵权行为；</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（二）以侵害知识产权为业；</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（三）伪造、毁坏或者隐匿侵权证据；</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（四）拒不履行保全裁定；</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（五）侵权获利或者权利人受损巨大；</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（六）侵权行为可能危害国家安全、公共利益或者人身健康；</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（七）其他可以认定为情节严重的情形。</w:t>
      </w:r>
    </w:p>
    <w:p>
      <w:pPr>
        <w:pStyle w:val="2"/>
        <w:spacing w:line="560" w:lineRule="exact"/>
        <w:ind w:firstLine="640" w:firstLineChars="200"/>
        <w:jc w:val="left"/>
        <w:rPr>
          <w:rFonts w:ascii="仿宋_GB2312" w:hAnsi="宋体" w:eastAsia="仿宋_GB2312" w:cs="宋体"/>
          <w:sz w:val="32"/>
          <w:szCs w:val="32"/>
        </w:rPr>
      </w:pPr>
      <w:r>
        <w:rPr>
          <w:rFonts w:hint="eastAsia" w:ascii="黑体" w:hAnsi="黑体" w:eastAsia="黑体" w:cs="宋体"/>
          <w:sz w:val="32"/>
          <w:szCs w:val="32"/>
        </w:rPr>
        <w:t>第五条　</w:t>
      </w:r>
      <w:r>
        <w:rPr>
          <w:rFonts w:hint="eastAsia" w:ascii="仿宋_GB2312" w:hAnsi="宋体" w:eastAsia="仿宋_GB2312" w:cs="宋体"/>
          <w:sz w:val="32"/>
          <w:szCs w:val="32"/>
        </w:rPr>
        <w:t>人民法院确定惩罚性赔偿数额时，应当分别依照相关法律，以原告实际损失数额、被告违法所得数额或者因侵权所获得的利益作为计算基数。该基数不包括原告为制止侵权所支付的合理开支；法律另有规定的,依照其规定。</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前款所称实际损失数额、违法所得数额、因侵权所获得的利益均难以计算的，人民法院依法参照该权利许可使用费的倍数合理确定，并以此作为惩罚性赔偿数额的计算基数。</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人民法院依法责令被告提供其掌握的与侵权行为相关的账簿、资料，被告无正当理由拒不提供或者提供虚假账簿、资料的，人民法院可以参考原告的主张和证据确定惩罚性赔偿数额的计算基数。构成民事诉讼法第一百一十一条规定情形的，依法追究法律责任。</w:t>
      </w:r>
    </w:p>
    <w:p>
      <w:pPr>
        <w:pStyle w:val="2"/>
        <w:spacing w:line="560" w:lineRule="exact"/>
        <w:ind w:firstLine="640" w:firstLineChars="200"/>
        <w:jc w:val="left"/>
        <w:rPr>
          <w:rFonts w:ascii="仿宋_GB2312" w:hAnsi="宋体" w:eastAsia="仿宋_GB2312" w:cs="宋体"/>
          <w:sz w:val="32"/>
          <w:szCs w:val="32"/>
        </w:rPr>
      </w:pPr>
      <w:r>
        <w:rPr>
          <w:rFonts w:hint="eastAsia" w:ascii="黑体" w:hAnsi="黑体" w:eastAsia="黑体" w:cs="宋体"/>
          <w:sz w:val="32"/>
          <w:szCs w:val="32"/>
        </w:rPr>
        <w:t>第六条　</w:t>
      </w:r>
      <w:r>
        <w:rPr>
          <w:rFonts w:hint="eastAsia" w:ascii="仿宋_GB2312" w:hAnsi="宋体" w:eastAsia="仿宋_GB2312" w:cs="宋体"/>
          <w:sz w:val="32"/>
          <w:szCs w:val="32"/>
        </w:rPr>
        <w:t>人民法院依法确定惩罚性赔偿的倍数时，应当综合考虑被告主观过错程度、侵权行为的情节严重程度等因素。</w:t>
      </w: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因同一侵权行为已经被处以行政罚款或者刑事罚金且执行完毕，被告主张减免惩罚性赔偿责任的，人民法院不予支持，但在确定前款所称倍数时可以综合考虑。</w:t>
      </w:r>
    </w:p>
    <w:p>
      <w:pPr>
        <w:pStyle w:val="2"/>
        <w:spacing w:line="560" w:lineRule="exact"/>
        <w:ind w:firstLine="600" w:firstLineChars="200"/>
        <w:jc w:val="left"/>
        <w:rPr>
          <w:rFonts w:ascii="仿宋_GB2312" w:hAnsi="宋体" w:eastAsia="仿宋_GB2312" w:cs="宋体"/>
          <w:sz w:val="32"/>
          <w:szCs w:val="32"/>
        </w:rPr>
      </w:pPr>
      <w:r>
        <w:rPr>
          <w:rFonts w:hint="eastAsia" w:ascii="黑体" w:hAnsi="黑体" w:eastAsia="黑体" w:cs="宋体"/>
          <w:sz w:val="30"/>
          <w:szCs w:val="30"/>
        </w:rPr>
        <w:t>第七条</w:t>
      </w:r>
      <w:r>
        <w:rPr>
          <w:rFonts w:hint="eastAsia" w:ascii="黑体" w:hAnsi="黑体" w:eastAsia="黑体" w:cs="宋体"/>
          <w:sz w:val="32"/>
          <w:szCs w:val="32"/>
        </w:rPr>
        <w:t>　</w:t>
      </w:r>
      <w:r>
        <w:rPr>
          <w:rFonts w:hint="eastAsia" w:ascii="仿宋_GB2312" w:hAnsi="宋体" w:eastAsia="仿宋_GB2312" w:cs="宋体"/>
          <w:sz w:val="32"/>
          <w:szCs w:val="32"/>
        </w:rPr>
        <w:t>本解释自2021年3月3日起施行。最高人民法院以前发布的相关司法解释与本解释不一致的，以本解释为准。</w:t>
      </w:r>
    </w:p>
    <w:p>
      <w:pPr>
        <w:pStyle w:val="2"/>
        <w:spacing w:line="560" w:lineRule="exact"/>
        <w:jc w:val="left"/>
        <w:rPr>
          <w:rFonts w:hAnsi="宋体" w:cs="宋体"/>
          <w:sz w:val="32"/>
          <w:szCs w:val="32"/>
        </w:rPr>
      </w:pPr>
    </w:p>
    <w:p>
      <w:pPr>
        <w:pStyle w:val="2"/>
        <w:spacing w:line="560" w:lineRule="exact"/>
        <w:jc w:val="left"/>
        <w:rPr>
          <w:rFonts w:ascii="仿宋_GB2312" w:hAnsi="宋体" w:eastAsia="仿宋_GB2312" w:cs="宋体"/>
          <w:sz w:val="30"/>
          <w:szCs w:val="30"/>
        </w:rPr>
      </w:pPr>
    </w:p>
    <w:p>
      <w:pPr>
        <w:pStyle w:val="2"/>
        <w:spacing w:line="560" w:lineRule="exact"/>
        <w:jc w:val="left"/>
        <w:rPr>
          <w:rFonts w:ascii="仿宋_GB2312" w:hAnsi="宋体" w:eastAsia="仿宋_GB2312" w:cs="宋体"/>
          <w:sz w:val="30"/>
          <w:szCs w:val="30"/>
        </w:rPr>
      </w:pPr>
    </w:p>
    <w:p>
      <w:pPr>
        <w:pStyle w:val="2"/>
        <w:spacing w:line="560" w:lineRule="exact"/>
        <w:jc w:val="left"/>
        <w:rPr>
          <w:rFonts w:ascii="仿宋_GB2312" w:hAnsi="宋体" w:eastAsia="仿宋_GB2312" w:cs="宋体"/>
          <w:sz w:val="30"/>
          <w:szCs w:val="30"/>
        </w:rPr>
      </w:pPr>
    </w:p>
    <w:p>
      <w:pPr>
        <w:pStyle w:val="2"/>
        <w:spacing w:line="560" w:lineRule="exact"/>
        <w:jc w:val="left"/>
        <w:rPr>
          <w:rFonts w:ascii="仿宋_GB2312" w:hAnsi="宋体" w:eastAsia="仿宋_GB2312" w:cs="宋体"/>
          <w:sz w:val="30"/>
          <w:szCs w:val="30"/>
        </w:rPr>
      </w:pPr>
    </w:p>
    <w:p>
      <w:pPr>
        <w:pStyle w:val="2"/>
        <w:spacing w:line="560" w:lineRule="exact"/>
        <w:jc w:val="left"/>
        <w:rPr>
          <w:rFonts w:ascii="仿宋_GB2312" w:hAnsi="宋体" w:eastAsia="仿宋_GB2312" w:cs="宋体"/>
          <w:sz w:val="30"/>
          <w:szCs w:val="30"/>
        </w:rPr>
      </w:pPr>
    </w:p>
    <w:p>
      <w:pPr>
        <w:pStyle w:val="2"/>
        <w:spacing w:line="560" w:lineRule="exact"/>
        <w:jc w:val="left"/>
        <w:rPr>
          <w:rFonts w:ascii="仿宋_GB2312" w:hAnsi="宋体" w:eastAsia="仿宋_GB2312" w:cs="宋体"/>
          <w:sz w:val="30"/>
          <w:szCs w:val="30"/>
        </w:rPr>
      </w:pPr>
    </w:p>
    <w:p>
      <w:pPr>
        <w:pStyle w:val="2"/>
        <w:spacing w:line="560" w:lineRule="exact"/>
        <w:jc w:val="left"/>
        <w:rPr>
          <w:rFonts w:ascii="仿宋_GB2312" w:hAnsi="宋体" w:eastAsia="仿宋_GB2312" w:cs="宋体"/>
          <w:sz w:val="30"/>
          <w:szCs w:val="30"/>
        </w:rPr>
      </w:pP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_x0000_s3073" o:spid="_x0000_s3073" o:spt="202" type="#_x0000_t202" style="position:absolute;left:0pt;margin-left:407.2pt;margin-top:-5.4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jc w:val="center"/>
                  <w:rPr>
                    <w:rStyle w:val="8"/>
                    <w:sz w:val="28"/>
                  </w:rPr>
                </w:pPr>
                <w:r>
                  <w:rPr>
                    <w:rStyle w:val="8"/>
                    <w:rFonts w:hint="eastAsia" w:ascii="宋体" w:hAnsi="宋体" w:cs="宋体"/>
                    <w:sz w:val="28"/>
                  </w:rPr>
                  <w:fldChar w:fldCharType="begin"/>
                </w:r>
                <w:r>
                  <w:rPr>
                    <w:rStyle w:val="8"/>
                    <w:rFonts w:hint="eastAsia" w:ascii="宋体" w:hAnsi="宋体" w:cs="宋体"/>
                    <w:sz w:val="28"/>
                  </w:rPr>
                  <w:instrText xml:space="preserve">PAGE  </w:instrText>
                </w:r>
                <w:r>
                  <w:rPr>
                    <w:rStyle w:val="8"/>
                    <w:rFonts w:hint="eastAsia" w:ascii="宋体" w:hAnsi="宋体" w:cs="宋体"/>
                    <w:sz w:val="28"/>
                  </w:rPr>
                  <w:fldChar w:fldCharType="separate"/>
                </w:r>
                <w:r>
                  <w:rPr>
                    <w:rStyle w:val="8"/>
                    <w:rFonts w:ascii="宋体" w:hAnsi="宋体" w:cs="宋体"/>
                    <w:sz w:val="28"/>
                  </w:rPr>
                  <w:t>- 1 -</w:t>
                </w:r>
                <w:r>
                  <w:rPr>
                    <w:rStyle w:val="8"/>
                    <w:rFonts w:hint="eastAsia" w:ascii="宋体" w:hAnsi="宋体" w:cs="宋体"/>
                    <w:sz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3074" o:spid="_x0000_s3074" o:spt="202" type="#_x0000_t202" style="position:absolute;left:0pt;margin-left:0pt;margin-top:-6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Style w:val="8"/>
                  </w:rPr>
                </w:pPr>
                <w:r>
                  <w:rPr>
                    <w:rStyle w:val="8"/>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- 2 -</w:t>
                </w:r>
                <w:r>
                  <w:rPr>
                    <w:rStyle w:val="8"/>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38E1"/>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4605A"/>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01DA"/>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5514"/>
    <w:rsid w:val="00626CE8"/>
    <w:rsid w:val="00661621"/>
    <w:rsid w:val="006711F4"/>
    <w:rsid w:val="0068140B"/>
    <w:rsid w:val="00685825"/>
    <w:rsid w:val="00691BD7"/>
    <w:rsid w:val="0069347C"/>
    <w:rsid w:val="006B086F"/>
    <w:rsid w:val="006E0F33"/>
    <w:rsid w:val="006E1FF4"/>
    <w:rsid w:val="006E62F1"/>
    <w:rsid w:val="006E7630"/>
    <w:rsid w:val="006F0A7E"/>
    <w:rsid w:val="006F6FC3"/>
    <w:rsid w:val="006F7D77"/>
    <w:rsid w:val="00706575"/>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47EE2"/>
    <w:rsid w:val="008701AB"/>
    <w:rsid w:val="0087139A"/>
    <w:rsid w:val="00877798"/>
    <w:rsid w:val="008802DB"/>
    <w:rsid w:val="00881967"/>
    <w:rsid w:val="00885F48"/>
    <w:rsid w:val="00890F76"/>
    <w:rsid w:val="0089274E"/>
    <w:rsid w:val="008A08FA"/>
    <w:rsid w:val="008E70E5"/>
    <w:rsid w:val="008F50DB"/>
    <w:rsid w:val="008F5238"/>
    <w:rsid w:val="008F7723"/>
    <w:rsid w:val="00904BC8"/>
    <w:rsid w:val="00911248"/>
    <w:rsid w:val="00913A4E"/>
    <w:rsid w:val="00925F75"/>
    <w:rsid w:val="00953C59"/>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20492"/>
    <w:rsid w:val="00C32995"/>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5610"/>
    <w:rsid w:val="00D16B69"/>
    <w:rsid w:val="00D21DEB"/>
    <w:rsid w:val="00D3514F"/>
    <w:rsid w:val="00D5052C"/>
    <w:rsid w:val="00D6266A"/>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0790"/>
    <w:rsid w:val="00E526C3"/>
    <w:rsid w:val="00E56A87"/>
    <w:rsid w:val="00E56E52"/>
    <w:rsid w:val="00E715B9"/>
    <w:rsid w:val="00E854B0"/>
    <w:rsid w:val="00E9403C"/>
    <w:rsid w:val="00E956E5"/>
    <w:rsid w:val="00E95DF8"/>
    <w:rsid w:val="00E96DD0"/>
    <w:rsid w:val="00E97496"/>
    <w:rsid w:val="00EB642C"/>
    <w:rsid w:val="00EB67B5"/>
    <w:rsid w:val="00EB6A82"/>
    <w:rsid w:val="00EB79DB"/>
    <w:rsid w:val="00ED624E"/>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46C7"/>
    <w:rsid w:val="00FC2B5F"/>
    <w:rsid w:val="00FD0009"/>
    <w:rsid w:val="00FD51B5"/>
    <w:rsid w:val="00FF402A"/>
    <w:rsid w:val="00FF690A"/>
    <w:rsid w:val="029D5662"/>
    <w:rsid w:val="10292DEA"/>
    <w:rsid w:val="15C6678E"/>
    <w:rsid w:val="1A382A0A"/>
    <w:rsid w:val="23A73766"/>
    <w:rsid w:val="295D744C"/>
    <w:rsid w:val="2D910884"/>
    <w:rsid w:val="4D7747E3"/>
    <w:rsid w:val="50070386"/>
    <w:rsid w:val="548E3438"/>
    <w:rsid w:val="5B6F431E"/>
    <w:rsid w:val="6A096F02"/>
    <w:rsid w:val="766B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默认段落字体 Para Char Char Char Char Char Char Char"/>
    <w:basedOn w:val="1"/>
    <w:qFormat/>
    <w:uiPriority w:val="0"/>
  </w:style>
  <w:style w:type="character" w:customStyle="1" w:styleId="10">
    <w:name w:val="页眉 Char"/>
    <w:basedOn w:val="7"/>
    <w:link w:val="5"/>
    <w:qFormat/>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纯文本 Char"/>
    <w:basedOn w:val="7"/>
    <w:link w:val="2"/>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7F3D2-B40B-4F55-80FC-945069BF115D}">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231</Words>
  <Characters>1320</Characters>
  <Lines>11</Lines>
  <Paragraphs>3</Paragraphs>
  <TotalTime>3</TotalTime>
  <ScaleCrop>false</ScaleCrop>
  <LinksUpToDate>false</LinksUpToDate>
  <CharactersWithSpaces>1548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2021-03-02T07:51:00Z</dcterms:created>
  <dc:creator>Lenovo User</dc:creator>
  <cp:lastModifiedBy>PC400</cp:lastModifiedBy>
  <cp:lastPrinted>2014-04-03T09:04:00Z</cp:lastPrinted>
  <dcterms:modified xsi:type="dcterms:W3CDTF">2021-11-12T07:08:50Z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185F0E04B0404BBC8B0535F564475032</vt:lpwstr>
  </property>
</Properties>
</file>