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C53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i w:val="0"/>
          <w:iCs w:val="0"/>
          <w:caps w:val="0"/>
          <w:color w:val="2F2F2F"/>
          <w:spacing w:val="0"/>
          <w:sz w:val="28"/>
          <w:szCs w:val="28"/>
        </w:rPr>
      </w:pPr>
      <w:bookmarkStart w:id="0" w:name="_GoBack"/>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法释〔2025〕1号</w:t>
      </w:r>
    </w:p>
    <w:p w14:paraId="1A0BDC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i w:val="0"/>
          <w:iCs w:val="0"/>
          <w:caps w:val="0"/>
          <w:color w:val="2F2F2F"/>
          <w:spacing w:val="0"/>
          <w:sz w:val="28"/>
          <w:szCs w:val="28"/>
        </w:rPr>
      </w:pP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最高人民法院关于适用《中华人民共和国民法典》婚姻家庭编的解释（二）</w:t>
      </w:r>
    </w:p>
    <w:p w14:paraId="5BEE344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rPr>
      </w:pP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《最高人民法院关于适用〈中华人民共和国民法典〉婚姻家庭编的解释（二）》已于2024年11月25日经最高人民法院审判委员会第1933次会议通过，现予公布，自2025年2月1日起施行。</w:t>
      </w:r>
    </w:p>
    <w:p w14:paraId="6B7AF4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20" w:lineRule="exact"/>
        <w:ind w:left="0" w:right="0" w:firstLine="0"/>
        <w:jc w:val="right"/>
        <w:textAlignment w:val="auto"/>
        <w:rPr>
          <w:rFonts w:hint="eastAsia" w:ascii="宋体" w:hAnsi="宋体" w:eastAsia="宋体" w:cs="宋体"/>
          <w:i w:val="0"/>
          <w:iCs w:val="0"/>
          <w:caps w:val="0"/>
          <w:color w:val="2F2F2F"/>
          <w:spacing w:val="0"/>
          <w:sz w:val="28"/>
          <w:szCs w:val="28"/>
        </w:rPr>
      </w:pPr>
      <w:r>
        <w:rPr>
          <w:rFonts w:hint="eastAsia" w:ascii="宋体" w:hAnsi="宋体" w:eastAsia="宋体" w:cs="宋体"/>
          <w:i w:val="0"/>
          <w:iCs w:val="0"/>
          <w:caps w:val="0"/>
          <w:color w:val="2F2F2F"/>
          <w:spacing w:val="0"/>
          <w:sz w:val="28"/>
          <w:szCs w:val="28"/>
          <w:bdr w:val="none" w:color="auto" w:sz="0" w:space="0"/>
          <w:shd w:val="clear" w:fill="FFFFFF"/>
        </w:rPr>
        <w:t>　　最高人民法院</w:t>
      </w:r>
    </w:p>
    <w:p w14:paraId="620C3D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20" w:lineRule="exact"/>
        <w:ind w:left="0" w:right="0" w:firstLine="0"/>
        <w:jc w:val="right"/>
        <w:textAlignment w:val="auto"/>
        <w:rPr>
          <w:rFonts w:hint="eastAsia" w:ascii="宋体" w:hAnsi="宋体" w:eastAsia="宋体" w:cs="宋体"/>
          <w:i w:val="0"/>
          <w:iCs w:val="0"/>
          <w:caps w:val="0"/>
          <w:color w:val="2F2F2F"/>
          <w:spacing w:val="0"/>
          <w:sz w:val="28"/>
          <w:szCs w:val="28"/>
        </w:rPr>
      </w:pPr>
      <w:r>
        <w:rPr>
          <w:rFonts w:hint="eastAsia" w:ascii="宋体" w:hAnsi="宋体" w:eastAsia="宋体" w:cs="宋体"/>
          <w:i w:val="0"/>
          <w:iCs w:val="0"/>
          <w:caps w:val="0"/>
          <w:color w:val="2F2F2F"/>
          <w:spacing w:val="0"/>
          <w:sz w:val="28"/>
          <w:szCs w:val="28"/>
          <w:bdr w:val="none" w:color="auto" w:sz="0" w:space="0"/>
          <w:shd w:val="clear" w:fill="FFFFFF"/>
        </w:rPr>
        <w:t>2025年1月15日</w:t>
      </w:r>
    </w:p>
    <w:p w14:paraId="3B21F13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rPr>
      </w:pP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为正确审理婚姻家庭纠纷案件，根据《中华人民共和国民法典》《中华人民共和国民事诉讼法》等相关法律规定，结合审判实践，制定本解释。</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第一条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当事人依据民法典第一千零五十一条第一项规定请求确认重婚的婚姻无效，提起诉讼时合法婚姻当事人已经离婚或者配偶已经死亡，被告以此为由抗辩后一婚姻自以上情形发生时转为有效的，人民法院不予支持。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第二条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夫妻登记离婚后，一方以双方意思表示虚假为由请求确认离婚无效的，人民法院不予支持。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第三条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夫妻一方的债权人有证据证明离婚协议中财产分割条款影响其债权实现，请求参照适用民法典第五百三十八条或者第五百三十九条规定撤销相关条款的，人民法院应当综合考虑夫妻共同财产整体分割及履行情况、子女抚养费负担、离婚过错等因素，依法予以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第四条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双方均无配偶的同居关系析产纠纷案件中，对同居期间所得的财产，有约定的，按照约定处理；没有约定且协商不成的，人民法院按照以下情形分别处理：</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（一）各自所得的工资、奖金、劳务报酬、知识产权收益，各自继承或者受赠的财产以及单独生产、经营、投资的收益等，归各自所有；</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（二）共同出资购置的财产或者共同生产、经营、投资的收益以及其他无法区分的财产，以各自出资比例为基础，综合考虑共同生活情况、有无共同子女、对财产的贡献大小等因素进行分割。</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第五条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婚前或者婚姻关系存续期间，当事人约定将一方所有的房屋转移登记至另一方或者双方名下，离婚诉讼时房屋所有权尚未转移登记，双方对房屋归属或者分割有争议且协商不成的，人民法院可以根据当事人诉讼请求，结合给予目的，综合考虑婚姻关系存续时间、共同生活及孕育共同子女情况、离婚过错、对家庭的贡献大小以及离婚时房屋市场价格等因素，判决房屋归其中一方所有，并确定是否由获得房屋一方对另一方予以补偿以及补偿的具体数额。</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婚前或者婚姻关系存续期间，一方将其所有的房屋转移登记至另一方或者双方名下，离婚诉讼中，双方对房屋归属或者分割有争议且协商不成的，如果婚姻关系存续时间较短且给予方无重大过错，人民法院可以根据当事人诉讼请求，判决该房屋归给予方所有，并结合给予目的，综合考虑共同生活及孕育共同子女情况、离婚过错、对家庭的贡献大小以及离婚时房屋市场价格等因素，确定是否由获得房屋一方对另一方予以补偿以及补偿的具体数额。</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给予方有证据证明另一方存在欺诈、胁迫、严重侵害给予方或者其近亲属合法权益、对给予方有扶养义务而不履行等情形，请求撤销前两款规定的民事法律行为的，人民法院依法予以支持。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第六条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夫妻一方未经另一方同意，在网络直播平台用夫妻共同财产打赏，数额明显超出其家庭一般消费水平，严重损害夫妻共同财产利益的，可以认定为民法典第一千零六十六条和第一千零九十二条规定的“挥霍”。另一方请求在婚姻关系存续期间分割夫妻共同财产，或者在离婚分割夫妻共同财产时请求对打赏一方少分或者不分的，人民法院应予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第七条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夫妻一方为重婚、与他人同居以及其他违反夫妻忠实义务等目的，将夫妻共同财产赠与他人或者以明显不合理的价格处分夫妻共同财产，另一方主张该民事法律行为违背公序良俗无效的，人民法院应予支持并依照民法典第一百五十七条规定处理。</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夫妻一方存在前款规定情形，另一方以该方存在转移、变卖夫妻共同财产行为，严重损害夫妻共同财产利益为由，依据民法典第一千零六十六条规定请求在婚姻关系存续期间分割夫妻共同财产，或者依据民法典第一千零九十二条规定请求在离婚分割夫妻共同财产时对该方少分或者不分的，人民法院应予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第八条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婚姻关系存续期间，夫妻购置房屋由一方父母全额出资，如果赠与合同明确约定只赠与自己子女一方的，按照约定处理；没有约定或者约定不明确的，离婚分割夫妻共同财产时，人民法院可以判决该房屋归出资人子女一方所有，并综合考虑共同生活及孕育共同子女情况、离婚过错、对家庭的贡献大小以及离婚时房屋市场价格等因素，确定是否由获得房屋一方对另一方予以补偿以及补偿的具体数额。</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婚姻关系存续期间，夫妻购置房屋由一方父母部分出资或者双方父母出资，如果赠与合同明确约定相应出资只赠与自己子女一方的，按照约定处理；没有约定或者约定不明确的，离婚分割夫妻共同财产时，人民法院可以根据当事人诉讼请求，以出资来源及比例为基础，综合考虑共同生活及孕育共同子女情况、离婚过错、对家庭的贡献大小以及离婚时房屋市场价格等因素，判决房屋归其中一方所有，并由获得房屋一方对另一方予以合理补偿。</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第九条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夫妻一方转让用夫妻共同财产出资但登记在自己名下的有限责任公司股权，另一方以未经其同意侵害夫妻共同财产利益为由请求确认股权转让合同无效的，人民法院不予支持，但有证据证明转让人与受让人恶意串通损害另一方合法权益的除外。</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第十条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夫妻以共同财产投资有限责任公司，并均登记为股东，双方对相应股权的归属没有约定或者约定不明确，离婚时，一方请求按照股东名册或者公司章程记载的各自出资额确定股权分割比例的，人民法院不予支持；对当事人分割夫妻共同财产的请求，人民法院依照民法典第一千零八十七条规定处理。</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第十一条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夫妻一方以另一方可继承的财产为夫妻共同财产、放弃继承侵害夫妻共同财产利益为由主张另一方放弃继承无效的，人民法院不予支持，但有证据证明放弃继承导致放弃一方不能履行法定扶养义务的除外。</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第十二条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父母一方或者其近亲属等抢夺、藏匿未成年子女，另一方向人民法院申请人身安全保护令或者参照适用民法典第九百九十七条规定申请人格权侵害禁令的，人民法院依法予以支持。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抢夺、藏匿未成年子女一方以另一方存在赌博、吸毒、家庭暴力等严重侵害未成年子女合法权益情形，主张其抢夺、藏匿行为有合理事由的，人民法院应当告知其依法通过撤销监护人资格、中止探望或者变更抚养关系等途径解决。当事人对其上述主张未提供证据证明且未在合理期限内提出相关请求的，人民法院依照前款规定处理。</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第十三条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夫妻分居期间，一方或者其近亲属等抢夺、藏匿未成年子女，致使另一方无法履行监护职责，另一方请求行为人承担民事责任的，人民法院可以参照适用民法典第一千零八十四条关于离婚后子女抚养的有关规定，暂时确定未成年子女的抚养事宜，并明确暂时直接抚养未成年子女一方有协助另一方履行监护职责的义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第十四条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离婚诉讼中，父母均要求直接抚养已满两周岁的未成年子女，一方有下列情形之一的，人民法院应当按照最有利于未成年子女的原则，优先考虑由另一方直接抚养：</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（一）实施家庭暴力或者虐待、遗弃家庭成员；</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（二）有赌博、吸毒等恶习；</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（三）重婚、与他人同居或者其他严重违反夫妻忠实义务情形；</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（四）抢夺、藏匿未成年子女且另一方不存在本条第一项或者第二项等严重侵害未成年子女合法权益情形；</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（五）其他不利于未成年子女身心健康的情形。</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第十五条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父母双方以法定代理人身份处分用夫妻共同财产购买并登记在未成年子女名下的房屋后，又以违反民法典第三十五条规定损害未成年子女利益为由向相对人主张该民事法律行为无效的，人民法院不予支持。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第十六条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离婚协议中关于一方直接抚养未成年子女或者不能独立生活的成年子女、另一方不负担抚养费的约定，对双方具有法律约束力。但是，离婚后，直接抚养子女一方经济状况发生变化导致原生活水平显著降低或者子女生活、教育、医疗等必要合理费用确有显著增加，未成年子女或者不能独立生活的成年子女请求另一方支付抚养费的，人民法院依法予以支持，并综合考虑离婚协议整体约定、子女实际需要、另一方的负担能力、当地生活水平等因素，确定抚养费的数额。</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前款但书规定情形下，另一方以直接抚养子女一方无抚养能力为由请求变更抚养关系的，人民法院依照民法典第一千零八十四条规定处理。</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第十七条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离婚后，不直接抚养子女一方未按照离婚协议约定或者以其他方式作出的承诺给付抚养费，未成年子女或者不能独立生活的成年子女请求其支付欠付的抚养费的，人民法院应予支持。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前款规定情形下，如果子女已经成年并能够独立生活，直接抚养子女一方请求另一方支付欠付的费用的，人民法院依法予以支持。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第十八条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对民法典第一千零七十二条中继子女受继父或者继母抚养教育的事实，人民法院应当以共同生活时间长短为基础，综合考虑共同生活期间继父母是否实际进行生活照料、是否履行家庭教育职责、是否承担抚养费等因素予以认定。</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第十九条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生父与继母或者生母与继父离婚后，当事人主张继父或者继母和曾受其抚养教育的继子女之间的权利义务关系不再适用民法典关于父母子女关系规定的，人民法院应予支持，但继父或者继母与继子女存在依法成立的收养关系或者继子女仍与继父或者继母共同生活的除外。</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继父母子女关系解除后，缺乏劳动能力又缺乏生活来源的继父或者继母请求曾受其抚养教育的成年继子女给付生活费的，人民法院可以综合考虑抚养教育情况、成年继子女负担能力等因素，依法予以支持，但是继父或者继母曾存在虐待、遗弃继子女等情况的除外。</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第二十条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离婚协议约定将部分或者全部夫妻共同财产给予子女，离婚后，一方在财产权利转移之前请求撤销该约定的，人民法院不予支持，但另一方同意的除外。</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一方不履行前款离婚协议约定的义务，另一方请求其承担继续履行或者因无法履行而赔偿损失等民事责任的，人民法院依法予以支持。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双方在离婚协议中明确约定子女可以就本条第一款中的相关财产直接主张权利，一方不履行离婚协议约定的义务，子女请求参照适用民法典第五百二十二条第二款规定，由该方承担继续履行或者因无法履行而赔偿损失等民事责任的，人民法院依法予以支持。</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离婚协议约定将部分或者全部夫妻共同财产给予子女，离婚后，一方有证据证明签订离婚协议时存在欺诈、胁迫等情形，请求撤销该约定的，人民法院依法予以支持；当事人同时请求分割该部分夫妻共同财产的，人民法院依照民法典第一千零八十七条规定处理。</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第二十一条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离婚诉讼中，夫妻一方有证据证明在婚姻关系存续期间因抚育子女、照料老年人、协助另一方工作等负担较多义务，依据民法典第一千零八十八条规定请求另一方给予补偿的，人民法院可以综合考虑负担相应义务投入的时间、精力和对双方的影响以及给付方负担能力、当地居民人均可支配收入等因素，确定补偿数额。</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w:t>
      </w:r>
      <w:r>
        <w:rPr>
          <w:rStyle w:val="5"/>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第二十二条</w:t>
      </w:r>
      <w:r>
        <w:rPr>
          <w:rFonts w:hint="eastAsia" w:ascii="宋体" w:hAnsi="宋体" w:eastAsia="宋体" w:cs="宋体"/>
          <w:i w:val="0"/>
          <w:iCs w:val="0"/>
          <w:caps w:val="0"/>
          <w:color w:val="2F2F2F"/>
          <w:spacing w:val="0"/>
          <w:kern w:val="0"/>
          <w:sz w:val="28"/>
          <w:szCs w:val="28"/>
          <w:bdr w:val="none" w:color="auto" w:sz="0" w:space="0"/>
          <w:shd w:val="clear" w:fill="FFFFFF"/>
          <w:lang w:val="en-US" w:eastAsia="zh-CN" w:bidi="ar"/>
        </w:rPr>
        <w:t>  离婚诉讼中，一方存在年老、残疾、重病等生活困难情形，依据民法典第一千零九十条规定请求有负担能力的另一方给予适当帮助的，人民法院可以根据当事人请求，结合另一方财产状况，依法予以支持。</w:t>
      </w:r>
    </w:p>
    <w:p w14:paraId="60F842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20" w:lineRule="exact"/>
        <w:ind w:left="0" w:right="0" w:firstLine="0"/>
        <w:textAlignment w:val="auto"/>
        <w:rPr>
          <w:rFonts w:hint="eastAsia" w:ascii="宋体" w:hAnsi="宋体" w:eastAsia="宋体" w:cs="宋体"/>
          <w:i w:val="0"/>
          <w:iCs w:val="0"/>
          <w:caps w:val="0"/>
          <w:color w:val="2F2F2F"/>
          <w:spacing w:val="0"/>
          <w:sz w:val="28"/>
          <w:szCs w:val="28"/>
        </w:rPr>
      </w:pPr>
      <w:r>
        <w:rPr>
          <w:rFonts w:hint="eastAsia" w:ascii="宋体" w:hAnsi="宋体" w:eastAsia="宋体" w:cs="宋体"/>
          <w:i w:val="0"/>
          <w:iCs w:val="0"/>
          <w:caps w:val="0"/>
          <w:color w:val="2F2F2F"/>
          <w:spacing w:val="0"/>
          <w:sz w:val="28"/>
          <w:szCs w:val="28"/>
          <w:bdr w:val="none" w:color="auto" w:sz="0" w:space="0"/>
          <w:shd w:val="clear" w:fill="FFFFFF"/>
        </w:rPr>
        <w:t>　　</w:t>
      </w:r>
      <w:r>
        <w:rPr>
          <w:rStyle w:val="5"/>
          <w:rFonts w:hint="eastAsia" w:ascii="宋体" w:hAnsi="宋体" w:eastAsia="宋体" w:cs="宋体"/>
          <w:i w:val="0"/>
          <w:iCs w:val="0"/>
          <w:caps w:val="0"/>
          <w:color w:val="2F2F2F"/>
          <w:spacing w:val="0"/>
          <w:sz w:val="28"/>
          <w:szCs w:val="28"/>
          <w:bdr w:val="none" w:color="auto" w:sz="0" w:space="0"/>
          <w:shd w:val="clear" w:fill="FFFFFF"/>
        </w:rPr>
        <w:t>第二十三条</w:t>
      </w:r>
      <w:r>
        <w:rPr>
          <w:rFonts w:hint="eastAsia" w:ascii="宋体" w:hAnsi="宋体" w:eastAsia="宋体" w:cs="宋体"/>
          <w:i w:val="0"/>
          <w:iCs w:val="0"/>
          <w:caps w:val="0"/>
          <w:color w:val="2F2F2F"/>
          <w:spacing w:val="0"/>
          <w:sz w:val="28"/>
          <w:szCs w:val="28"/>
          <w:bdr w:val="none" w:color="auto" w:sz="0" w:space="0"/>
          <w:shd w:val="clear" w:fill="FFFFFF"/>
        </w:rPr>
        <w:t>  本解释自2025年2月1日起施行。</w:t>
      </w:r>
    </w:p>
    <w:p w14:paraId="0F7ED38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rPr>
      </w:pPr>
    </w:p>
    <w:p w14:paraId="3CE4EC2B">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bookmarkEnd w:id="0"/>
    <w:sectPr>
      <w:pgSz w:w="11906" w:h="16838"/>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F7B4E"/>
    <w:rsid w:val="075F7B4E"/>
    <w:rsid w:val="7AAC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2025-01-16T06:20:00Z</dcterms:created>
  <dc:creator>CICI~奚~ </dc:creator>
  <cp:lastModifiedBy>CICI~奚~ </cp:lastModifiedBy>
  <cp:lastPrinted>2025-01-16T06:31:01Z</cp:lastPrinted>
  <dcterms:modified xsi:type="dcterms:W3CDTF">2025-01-16T06:39:00Z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DDF912849F9B48DC99B75E2CAB250C27_11</vt:lpwstr>
  </property>
  <property fmtid="{D5CDD505-2E9C-101B-9397-08002B2CF9AE}" pid="4" name="KSOTemplateDocerSaveRecord">
    <vt:lpwstr>eyJoZGlkIjoiNGU5NTY3MzhhZmFhYWRhZDBlODUwNTYwOGQ4MzZjMmIiLCJ1c2VySWQiOiIyNTM0MDc3NzcifQ==</vt:lpwstr>
  </property>
</Properties>
</file>